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64422" w14:textId="77777777" w:rsidR="00705E33" w:rsidRDefault="00585750" w:rsidP="008A2CB8">
      <w:pPr>
        <w:pStyle w:val="1"/>
        <w:ind w:firstLine="0"/>
        <w:jc w:val="center"/>
        <w:rPr>
          <w:b/>
          <w:bCs/>
        </w:rPr>
      </w:pPr>
      <w:r>
        <w:rPr>
          <w:b/>
          <w:bCs/>
        </w:rPr>
        <w:t>П</w:t>
      </w:r>
      <w:r w:rsidR="00705E33">
        <w:rPr>
          <w:b/>
          <w:bCs/>
        </w:rPr>
        <w:t>АМ’</w:t>
      </w:r>
      <w:r w:rsidR="00705E33" w:rsidRPr="00705E33">
        <w:rPr>
          <w:b/>
          <w:bCs/>
          <w:lang w:val="ru-RU"/>
        </w:rPr>
        <w:t>ЯТКА</w:t>
      </w:r>
    </w:p>
    <w:p w14:paraId="4250C596" w14:textId="77777777" w:rsidR="00574720" w:rsidRDefault="00585750" w:rsidP="008A2CB8">
      <w:pPr>
        <w:pStyle w:val="1"/>
        <w:ind w:firstLine="0"/>
        <w:jc w:val="center"/>
      </w:pPr>
      <w:r>
        <w:rPr>
          <w:b/>
          <w:bCs/>
        </w:rPr>
        <w:t>засновника (керівника) закладу освіти</w:t>
      </w:r>
    </w:p>
    <w:p w14:paraId="2FB8E149" w14:textId="77777777" w:rsidR="00574720" w:rsidRDefault="00585750" w:rsidP="008A2CB8">
      <w:pPr>
        <w:pStyle w:val="1"/>
        <w:ind w:firstLine="0"/>
        <w:jc w:val="center"/>
        <w:rPr>
          <w:b/>
          <w:bCs/>
        </w:rPr>
      </w:pPr>
      <w:r>
        <w:rPr>
          <w:b/>
          <w:bCs/>
        </w:rPr>
        <w:t>щодо організації створення фонду захисних споруд цивільного захисту</w:t>
      </w:r>
      <w:r>
        <w:rPr>
          <w:b/>
          <w:bCs/>
        </w:rPr>
        <w:br/>
        <w:t>та організації укриття у ньому здобувачів освіти та персоналу</w:t>
      </w:r>
    </w:p>
    <w:p w14:paraId="62A78688" w14:textId="77777777" w:rsidR="00705E33" w:rsidRDefault="00705E33" w:rsidP="008A2CB8">
      <w:pPr>
        <w:pStyle w:val="1"/>
        <w:ind w:firstLine="0"/>
        <w:jc w:val="center"/>
      </w:pPr>
    </w:p>
    <w:p w14:paraId="4FE10784" w14:textId="77777777" w:rsidR="00574720" w:rsidRDefault="00585750" w:rsidP="008A2CB8">
      <w:pPr>
        <w:pStyle w:val="1"/>
        <w:ind w:firstLine="600"/>
        <w:jc w:val="both"/>
      </w:pPr>
      <w:r>
        <w:t xml:space="preserve">Відповідно до законодавства, насамперед Кодексу цивільного захисту України, </w:t>
      </w:r>
      <w:r w:rsidRPr="0013146C">
        <w:rPr>
          <w:bCs/>
        </w:rPr>
        <w:t>завдання та обов'язки</w:t>
      </w:r>
      <w:r>
        <w:rPr>
          <w:b/>
          <w:bCs/>
        </w:rPr>
        <w:t xml:space="preserve"> </w:t>
      </w:r>
      <w:r>
        <w:t>щодо організації створення фонду захисних споруд та організації укриття у ньому населення належать:</w:t>
      </w:r>
    </w:p>
    <w:p w14:paraId="06EA3351" w14:textId="77777777" w:rsidR="00574720" w:rsidRDefault="00585750" w:rsidP="008A2CB8">
      <w:pPr>
        <w:pStyle w:val="1"/>
        <w:ind w:firstLine="600"/>
        <w:jc w:val="both"/>
      </w:pPr>
      <w:r>
        <w:t>центральним органам виконавчої влади (стосовно персоналу апаратів та суб'єктів господарювання, що належать до сфери їх управління);</w:t>
      </w:r>
    </w:p>
    <w:p w14:paraId="61BF4E2A" w14:textId="77777777" w:rsidR="00574720" w:rsidRDefault="00585750" w:rsidP="008A2CB8">
      <w:pPr>
        <w:pStyle w:val="1"/>
        <w:ind w:firstLine="600"/>
        <w:jc w:val="both"/>
      </w:pPr>
      <w:r>
        <w:t>місцевим державним адміністраціям та органам місцевого самоврядування (щодо укриття населення на відповідних територіях);</w:t>
      </w:r>
    </w:p>
    <w:p w14:paraId="032693C1" w14:textId="77777777" w:rsidR="00574720" w:rsidRDefault="00585750" w:rsidP="008A2CB8">
      <w:pPr>
        <w:pStyle w:val="1"/>
        <w:ind w:firstLine="600"/>
        <w:jc w:val="both"/>
      </w:pPr>
      <w:r>
        <w:t>суб'єктам господарювання (стосовно їх працівників).</w:t>
      </w:r>
    </w:p>
    <w:p w14:paraId="79FEF534" w14:textId="77777777" w:rsidR="00574720" w:rsidRDefault="00585750" w:rsidP="008A2CB8">
      <w:pPr>
        <w:pStyle w:val="1"/>
        <w:ind w:firstLine="600"/>
        <w:jc w:val="both"/>
      </w:pPr>
      <w:r>
        <w:t>ДСНС у межах своїх повноважень здійснює нормативно-правове та технічне регулювання у цій сфері, веде електронний облік цих споруд, а також здійснює державний нагляд (контроль) у зазначеній сфері (на період воєнного стану наглядові заходи призупинено).</w:t>
      </w:r>
    </w:p>
    <w:p w14:paraId="4511BE89" w14:textId="77777777" w:rsidR="00574720" w:rsidRDefault="00585750" w:rsidP="008A2CB8">
      <w:pPr>
        <w:pStyle w:val="1"/>
        <w:ind w:firstLine="600"/>
        <w:jc w:val="both"/>
      </w:pPr>
      <w:r>
        <w:t>Захисні споруди цивільного захисту (сховища та протирадіаційні укриття), споруди подвійного призначення та найпростіші укриття складають фонд захисних споруд цивільного захисту і належать до засобів колективного захисту.</w:t>
      </w:r>
    </w:p>
    <w:p w14:paraId="54C754E0" w14:textId="77777777" w:rsidR="00574720" w:rsidRDefault="00585750" w:rsidP="008A2CB8">
      <w:pPr>
        <w:pStyle w:val="1"/>
        <w:ind w:firstLine="600"/>
        <w:jc w:val="both"/>
      </w:pPr>
      <w:r>
        <w:t>З огляду на те, що захисні споруди мають лише 11% закладів освіти, решта має забезпечити наявність найпростіших укриттів.</w:t>
      </w:r>
    </w:p>
    <w:p w14:paraId="7E0FFDAC" w14:textId="77777777" w:rsidR="00705E33" w:rsidRDefault="00705E33" w:rsidP="008A2CB8">
      <w:pPr>
        <w:pStyle w:val="1"/>
        <w:ind w:firstLine="600"/>
        <w:jc w:val="both"/>
      </w:pPr>
    </w:p>
    <w:p w14:paraId="4683A9B1" w14:textId="77777777" w:rsidR="00574720" w:rsidRDefault="00585750" w:rsidP="008A2CB8">
      <w:pPr>
        <w:pStyle w:val="11"/>
        <w:keepNext/>
        <w:keepLines/>
        <w:spacing w:after="0"/>
      </w:pPr>
      <w:bookmarkStart w:id="0" w:name="bookmark0"/>
      <w:bookmarkStart w:id="1" w:name="bookmark1"/>
      <w:bookmarkStart w:id="2" w:name="bookmark2"/>
      <w:r>
        <w:t>Основні вимоги</w:t>
      </w:r>
      <w:r w:rsidR="0013146C" w:rsidRPr="0013146C">
        <w:rPr>
          <w:lang w:val="ru-RU"/>
        </w:rPr>
        <w:t xml:space="preserve"> </w:t>
      </w:r>
      <w:r>
        <w:t>до найпростіших укриттів</w:t>
      </w:r>
      <w:bookmarkEnd w:id="0"/>
      <w:bookmarkEnd w:id="1"/>
      <w:bookmarkEnd w:id="2"/>
    </w:p>
    <w:p w14:paraId="4411CF08" w14:textId="77777777" w:rsidR="00705E33" w:rsidRDefault="00705E33" w:rsidP="008A2CB8">
      <w:pPr>
        <w:pStyle w:val="11"/>
        <w:keepNext/>
        <w:keepLines/>
        <w:spacing w:after="0"/>
      </w:pPr>
    </w:p>
    <w:p w14:paraId="7A4036AD" w14:textId="77777777" w:rsidR="00574720" w:rsidRDefault="0013146C" w:rsidP="008A2CB8">
      <w:pPr>
        <w:pStyle w:val="1"/>
        <w:tabs>
          <w:tab w:val="left" w:pos="925"/>
        </w:tabs>
        <w:ind w:firstLine="567"/>
        <w:jc w:val="both"/>
      </w:pPr>
      <w:bookmarkStart w:id="3" w:name="bookmark3"/>
      <w:bookmarkEnd w:id="3"/>
      <w:r>
        <w:t>1. </w:t>
      </w:r>
      <w:r w:rsidR="00585750">
        <w:t>Розташовуються у складі основної будівлі закладу освіти або на відстані не більше 500 м до неї (рекомендується до 100 м).</w:t>
      </w:r>
    </w:p>
    <w:p w14:paraId="0C7E83B6" w14:textId="77777777" w:rsidR="00574720" w:rsidRDefault="0013146C" w:rsidP="008A2CB8">
      <w:pPr>
        <w:pStyle w:val="1"/>
        <w:tabs>
          <w:tab w:val="left" w:pos="925"/>
        </w:tabs>
        <w:ind w:firstLine="567"/>
        <w:jc w:val="both"/>
      </w:pPr>
      <w:bookmarkStart w:id="4" w:name="bookmark4"/>
      <w:bookmarkEnd w:id="4"/>
      <w:r>
        <w:t>2. </w:t>
      </w:r>
      <w:r w:rsidR="00585750">
        <w:t xml:space="preserve">Забезпечені електроживленням, штучним освітленням, системами водопроводу та каналізації. За відсутності в об’єктах будівництва водопостачання і каналізації вони повинні мати запас </w:t>
      </w:r>
      <w:proofErr w:type="spellStart"/>
      <w:r w:rsidR="00585750">
        <w:t>бутильованої</w:t>
      </w:r>
      <w:proofErr w:type="spellEnd"/>
      <w:r w:rsidR="00585750">
        <w:t xml:space="preserve"> води та окремі приміщення для встановлення виносних ємностей для нечистот.</w:t>
      </w:r>
    </w:p>
    <w:p w14:paraId="6C8F9024" w14:textId="77777777" w:rsidR="00574720" w:rsidRDefault="0013146C" w:rsidP="008A2CB8">
      <w:pPr>
        <w:pStyle w:val="1"/>
        <w:tabs>
          <w:tab w:val="left" w:pos="930"/>
        </w:tabs>
        <w:ind w:firstLine="567"/>
        <w:jc w:val="both"/>
      </w:pPr>
      <w:bookmarkStart w:id="5" w:name="bookmark5"/>
      <w:bookmarkEnd w:id="5"/>
      <w:r>
        <w:t>3. </w:t>
      </w:r>
      <w:r w:rsidR="00585750">
        <w:t>Не мають великих отворів у зовнішніх огороджувальних конструкціях, а наявні отвори (крім дверних) забезпечують можливість їх закладки (мішками з піском або ґрунтом, бетонними блоками, цегляною кладкою тощо).</w:t>
      </w:r>
    </w:p>
    <w:p w14:paraId="5A99A9AA" w14:textId="77777777" w:rsidR="00574720" w:rsidRDefault="0013146C" w:rsidP="008A2CB8">
      <w:pPr>
        <w:pStyle w:val="1"/>
        <w:tabs>
          <w:tab w:val="left" w:pos="925"/>
        </w:tabs>
        <w:ind w:firstLine="567"/>
        <w:jc w:val="both"/>
      </w:pPr>
      <w:bookmarkStart w:id="6" w:name="bookmark6"/>
      <w:bookmarkEnd w:id="6"/>
      <w:r>
        <w:t>4. </w:t>
      </w:r>
      <w:r w:rsidR="00585750">
        <w:t>Забезпечені не менше ніж двома евакуаційними виходами, один з яких може бути аварійним (у разі планування укриття менше 50 осіб нормами допускається наявність одного евакуаційного виходу).</w:t>
      </w:r>
    </w:p>
    <w:p w14:paraId="540ED0DF" w14:textId="77777777" w:rsidR="00574720" w:rsidRDefault="0013146C" w:rsidP="008A2CB8">
      <w:pPr>
        <w:pStyle w:val="1"/>
        <w:tabs>
          <w:tab w:val="left" w:pos="926"/>
        </w:tabs>
        <w:ind w:firstLine="0"/>
        <w:jc w:val="both"/>
      </w:pPr>
      <w:bookmarkStart w:id="7" w:name="bookmark7"/>
      <w:bookmarkEnd w:id="7"/>
      <w:r>
        <w:t>5. </w:t>
      </w:r>
      <w:r w:rsidR="00585750">
        <w:t>Через приміщення, призначені для перебування населення</w:t>
      </w:r>
      <w:r>
        <w:t>,</w:t>
      </w:r>
      <w:r w:rsidR="00585750">
        <w:t xml:space="preserve"> не проходять водопровідні та каналізаційні магістралі, інші магістральні інженерні комунікації (за винятком </w:t>
      </w:r>
      <w:proofErr w:type="spellStart"/>
      <w:r w:rsidR="00585750">
        <w:t>внутрішньобудинкових</w:t>
      </w:r>
      <w:proofErr w:type="spellEnd"/>
      <w:r w:rsidR="00585750">
        <w:t xml:space="preserve"> інженерних мереж).</w:t>
      </w:r>
    </w:p>
    <w:p w14:paraId="576FED5A" w14:textId="77777777" w:rsidR="00574720" w:rsidRDefault="0013146C" w:rsidP="008A2CB8">
      <w:pPr>
        <w:pStyle w:val="1"/>
        <w:tabs>
          <w:tab w:val="left" w:pos="938"/>
        </w:tabs>
        <w:ind w:firstLine="0"/>
        <w:jc w:val="both"/>
      </w:pPr>
      <w:bookmarkStart w:id="8" w:name="bookmark8"/>
      <w:bookmarkEnd w:id="8"/>
      <w:r>
        <w:t>6. </w:t>
      </w:r>
      <w:r w:rsidR="00585750">
        <w:t>Висота приміщень об’єктів, зокрема дверних отворів, становить не</w:t>
      </w:r>
      <w:r>
        <w:t xml:space="preserve"> </w:t>
      </w:r>
      <w:r w:rsidR="00585750">
        <w:t>менше 2 м (в окремих випадках не менше 1,8 м). Ширина дверних отворів становить не менше ніж 0,9 м (в окремих випадках не менше 0,8</w:t>
      </w:r>
      <w:r>
        <w:t xml:space="preserve"> </w:t>
      </w:r>
      <w:r w:rsidR="00585750">
        <w:t>м).</w:t>
      </w:r>
      <w:r>
        <w:t xml:space="preserve"> </w:t>
      </w:r>
      <w:r w:rsidR="00585750">
        <w:t>Перетинання дверних отворів будівельними конструкціями або інженерними комунікаціями не допускається.</w:t>
      </w:r>
    </w:p>
    <w:p w14:paraId="7BF17693" w14:textId="77777777" w:rsidR="00574720" w:rsidRDefault="0013146C" w:rsidP="008A2CB8">
      <w:pPr>
        <w:pStyle w:val="1"/>
        <w:tabs>
          <w:tab w:val="left" w:pos="926"/>
        </w:tabs>
        <w:ind w:firstLine="0"/>
        <w:jc w:val="both"/>
      </w:pPr>
      <w:bookmarkStart w:id="9" w:name="bookmark9"/>
      <w:bookmarkEnd w:id="9"/>
      <w:r>
        <w:lastRenderedPageBreak/>
        <w:t>7. </w:t>
      </w:r>
      <w:r w:rsidR="00585750">
        <w:t>Отвори при входах (виходах) закриваються посиленими дверми із негорючих матеріалів (металевими або дерев’яними, оббитими залізом) або захисними екранами (кам’яними, цегляними або залізобетонними) на висоту не менше 1,7 м</w:t>
      </w:r>
      <w:r>
        <w:t>.</w:t>
      </w:r>
    </w:p>
    <w:p w14:paraId="795EE048" w14:textId="77777777" w:rsidR="00574720" w:rsidRDefault="0013146C" w:rsidP="008A2CB8">
      <w:pPr>
        <w:pStyle w:val="1"/>
        <w:tabs>
          <w:tab w:val="left" w:pos="926"/>
        </w:tabs>
        <w:ind w:firstLine="0"/>
        <w:jc w:val="both"/>
      </w:pPr>
      <w:bookmarkStart w:id="10" w:name="bookmark10"/>
      <w:bookmarkEnd w:id="10"/>
      <w:r w:rsidRPr="0013146C">
        <w:rPr>
          <w:lang w:val="ru-RU"/>
        </w:rPr>
        <w:t>8.</w:t>
      </w:r>
      <w:r>
        <w:rPr>
          <w:lang w:val="en-US"/>
        </w:rPr>
        <w:t> </w:t>
      </w:r>
      <w:r w:rsidR="00585750">
        <w:t>Об’єкт перебуває у задовільному санітарному та протипожежному стані (відповідно до норм протипожежних та санітарних правил).</w:t>
      </w:r>
    </w:p>
    <w:p w14:paraId="47CF262A" w14:textId="77777777" w:rsidR="00574720" w:rsidRDefault="0013146C" w:rsidP="008A2CB8">
      <w:pPr>
        <w:pStyle w:val="1"/>
        <w:tabs>
          <w:tab w:val="left" w:pos="926"/>
        </w:tabs>
        <w:ind w:firstLine="0"/>
        <w:jc w:val="both"/>
      </w:pPr>
      <w:bookmarkStart w:id="11" w:name="bookmark11"/>
      <w:bookmarkEnd w:id="11"/>
      <w:r>
        <w:t>9. </w:t>
      </w:r>
      <w:r w:rsidR="00585750">
        <w:t>Місткість вираховується з розрахунку: 0,6 м</w:t>
      </w:r>
      <w:r w:rsidR="00585750">
        <w:rPr>
          <w:vertAlign w:val="superscript"/>
        </w:rPr>
        <w:t>2</w:t>
      </w:r>
      <w:r w:rsidR="00585750">
        <w:t xml:space="preserve"> площі основних приміщень на одну особу. За можливості розміщення двоярусних нар площу можу бути зменшено до 0,5 м</w:t>
      </w:r>
      <w:r w:rsidR="00585750">
        <w:rPr>
          <w:vertAlign w:val="superscript"/>
        </w:rPr>
        <w:t>2</w:t>
      </w:r>
      <w:r w:rsidR="00585750">
        <w:t xml:space="preserve"> на одну особу, при триярусному </w:t>
      </w:r>
      <w:r>
        <w:t>–</w:t>
      </w:r>
      <w:r w:rsidR="00585750">
        <w:t xml:space="preserve"> до</w:t>
      </w:r>
      <w:r>
        <w:t xml:space="preserve"> </w:t>
      </w:r>
      <w:r w:rsidR="00585750">
        <w:t>0,4 м</w:t>
      </w:r>
      <w:r w:rsidR="00585750">
        <w:rPr>
          <w:vertAlign w:val="superscript"/>
        </w:rPr>
        <w:t>2</w:t>
      </w:r>
      <w:r w:rsidR="00585750">
        <w:t xml:space="preserve"> на одну особу.</w:t>
      </w:r>
    </w:p>
    <w:p w14:paraId="70F7E469" w14:textId="77777777" w:rsidR="00574720" w:rsidRDefault="0013146C" w:rsidP="008A2CB8">
      <w:pPr>
        <w:pStyle w:val="1"/>
        <w:tabs>
          <w:tab w:val="left" w:pos="1053"/>
        </w:tabs>
        <w:ind w:firstLine="0"/>
        <w:jc w:val="both"/>
      </w:pPr>
      <w:bookmarkStart w:id="12" w:name="bookmark12"/>
      <w:bookmarkEnd w:id="12"/>
      <w:r>
        <w:t>10. </w:t>
      </w:r>
      <w:r w:rsidR="00585750">
        <w:t>У разі використання приміщень на перших поверхах необхідні захисні властивості як правило забезпечують об’єкти зі стінами 2-2,5 цеглини завтовшки, або з цільних залізобетонних конструкцій (блоків, панелей) товщиною від 56 см. Відповідні захисні властивості також забезпечує шар ґрунту товщиною 67-78 см (мішок з піском (ґрунтом), укладений поперек конструкції (ряду).</w:t>
      </w:r>
    </w:p>
    <w:p w14:paraId="71027119" w14:textId="77777777" w:rsidR="00705E33" w:rsidRDefault="00705E33" w:rsidP="008A2CB8">
      <w:pPr>
        <w:pStyle w:val="1"/>
        <w:tabs>
          <w:tab w:val="left" w:pos="1053"/>
        </w:tabs>
        <w:ind w:firstLine="0"/>
        <w:jc w:val="both"/>
      </w:pPr>
    </w:p>
    <w:p w14:paraId="05B9CE16" w14:textId="77777777" w:rsidR="00574720" w:rsidRDefault="00585750" w:rsidP="008A2CB8">
      <w:pPr>
        <w:pStyle w:val="11"/>
        <w:keepNext/>
        <w:keepLines/>
        <w:spacing w:after="0"/>
      </w:pPr>
      <w:bookmarkStart w:id="13" w:name="bookmark13"/>
      <w:bookmarkStart w:id="14" w:name="bookmark14"/>
      <w:bookmarkStart w:id="15" w:name="bookmark15"/>
      <w:r>
        <w:t>Алгоритм дій засновника закладу освіти</w:t>
      </w:r>
      <w:bookmarkEnd w:id="13"/>
      <w:bookmarkEnd w:id="14"/>
      <w:bookmarkEnd w:id="15"/>
    </w:p>
    <w:p w14:paraId="4423DB2A" w14:textId="77777777" w:rsidR="00705E33" w:rsidRDefault="00705E33" w:rsidP="008A2CB8">
      <w:pPr>
        <w:pStyle w:val="11"/>
        <w:keepNext/>
        <w:keepLines/>
        <w:spacing w:after="0"/>
      </w:pPr>
    </w:p>
    <w:p w14:paraId="2E9BA470" w14:textId="77777777" w:rsidR="00574720" w:rsidRDefault="00585750" w:rsidP="008A2CB8">
      <w:pPr>
        <w:pStyle w:val="1"/>
        <w:ind w:firstLine="600"/>
        <w:jc w:val="both"/>
      </w:pPr>
      <w:r>
        <w:t>Засновником закладу освіти є центральні або місцеві органи виконавчої влади, органи місцевого самоврядування фізичні та/або юридичні особи, рішенням та за рахунок майна яких засновано заклад освіти або які в інший спосіб відповідно до законодавства набули прав і обов'язків засновника</w:t>
      </w:r>
      <w:r w:rsidR="00705E33">
        <w:t>:</w:t>
      </w:r>
    </w:p>
    <w:p w14:paraId="24002FC9" w14:textId="77777777" w:rsidR="00574720" w:rsidRDefault="0013146C" w:rsidP="008A2CB8">
      <w:pPr>
        <w:pStyle w:val="1"/>
        <w:tabs>
          <w:tab w:val="left" w:pos="957"/>
        </w:tabs>
        <w:ind w:firstLine="567"/>
        <w:jc w:val="both"/>
      </w:pPr>
      <w:r>
        <w:t>1)</w:t>
      </w:r>
      <w:r w:rsidR="00705E33">
        <w:t> п</w:t>
      </w:r>
      <w:hyperlink r:id="rId7" w:history="1">
        <w:bookmarkStart w:id="16" w:name="bookmark16"/>
        <w:bookmarkEnd w:id="16"/>
        <w:r w:rsidR="00585750">
          <w:t>роведення інвентаризації (уточнення) наявного фонду захисних споруд</w:t>
        </w:r>
      </w:hyperlink>
      <w:r w:rsidR="00585750">
        <w:t xml:space="preserve"> </w:t>
      </w:r>
      <w:hyperlink r:id="rId8" w:history="1">
        <w:r w:rsidR="00585750">
          <w:t>цивільного захисту, що можуть бути використані для організації укриття</w:t>
        </w:r>
      </w:hyperlink>
      <w:r w:rsidR="00585750">
        <w:t xml:space="preserve"> </w:t>
      </w:r>
      <w:hyperlink r:id="rId9" w:history="1">
        <w:r w:rsidR="00585750">
          <w:t>учасників освітнього процесу</w:t>
        </w:r>
        <w:r w:rsidR="00705E33">
          <w:t>;</w:t>
        </w:r>
      </w:hyperlink>
    </w:p>
    <w:p w14:paraId="3635F65B" w14:textId="77777777" w:rsidR="00574720" w:rsidRDefault="00705E33" w:rsidP="008A2CB8">
      <w:pPr>
        <w:pStyle w:val="1"/>
        <w:tabs>
          <w:tab w:val="left" w:pos="986"/>
        </w:tabs>
        <w:ind w:firstLine="567"/>
        <w:jc w:val="both"/>
      </w:pPr>
      <w:r>
        <w:t>2) </w:t>
      </w:r>
      <w:hyperlink r:id="rId10" w:history="1">
        <w:bookmarkStart w:id="17" w:name="bookmark17"/>
        <w:bookmarkEnd w:id="17"/>
        <w:r>
          <w:t>в</w:t>
        </w:r>
        <w:r w:rsidR="00585750">
          <w:t>изначення потреби фонду за</w:t>
        </w:r>
      </w:hyperlink>
      <w:r w:rsidR="00585750">
        <w:t>хисних споруд</w:t>
      </w:r>
      <w:r>
        <w:t>;</w:t>
      </w:r>
    </w:p>
    <w:p w14:paraId="4F38CDB6" w14:textId="77777777" w:rsidR="00574720" w:rsidRDefault="00705E33" w:rsidP="008A2CB8">
      <w:pPr>
        <w:pStyle w:val="1"/>
        <w:tabs>
          <w:tab w:val="left" w:pos="962"/>
        </w:tabs>
        <w:ind w:firstLine="567"/>
        <w:jc w:val="both"/>
      </w:pPr>
      <w:bookmarkStart w:id="18" w:name="bookmark18"/>
      <w:bookmarkEnd w:id="18"/>
      <w:r>
        <w:t>3) с</w:t>
      </w:r>
      <w:r w:rsidR="00585750">
        <w:t>творення комісії та організація обстеження існуючих будівель і споруд з метою встановлення можливості їх використання як споруд подвійного призначення та найпростіших укриттів</w:t>
      </w:r>
      <w:r>
        <w:t>;</w:t>
      </w:r>
    </w:p>
    <w:p w14:paraId="513891FD" w14:textId="77777777" w:rsidR="00574720" w:rsidRDefault="00705E33" w:rsidP="008A2CB8">
      <w:pPr>
        <w:pStyle w:val="1"/>
        <w:tabs>
          <w:tab w:val="left" w:pos="986"/>
        </w:tabs>
        <w:ind w:firstLine="567"/>
        <w:jc w:val="both"/>
      </w:pPr>
      <w:r>
        <w:t>4) </w:t>
      </w:r>
      <w:hyperlink r:id="rId11" w:history="1">
        <w:bookmarkStart w:id="19" w:name="bookmark19"/>
        <w:bookmarkEnd w:id="19"/>
        <w:r>
          <w:t>п</w:t>
        </w:r>
        <w:r w:rsidR="00585750">
          <w:t xml:space="preserve">риведення у готовність до використання за призначенням </w:t>
        </w:r>
      </w:hyperlink>
      <w:r w:rsidR="00585750">
        <w:rPr>
          <w:i/>
          <w:iCs/>
        </w:rPr>
        <w:t>(створення</w:t>
      </w:r>
      <w:r>
        <w:rPr>
          <w:i/>
          <w:iCs/>
        </w:rPr>
        <w:t xml:space="preserve"> </w:t>
      </w:r>
      <w:r w:rsidR="00585750">
        <w:rPr>
          <w:i/>
          <w:iCs/>
        </w:rPr>
        <w:t>формувань (призначення відповідальних осіб) з утримання та обслуговування, встановлення</w:t>
      </w:r>
      <w:r>
        <w:rPr>
          <w:i/>
          <w:iCs/>
        </w:rPr>
        <w:t xml:space="preserve"> </w:t>
      </w:r>
      <w:r w:rsidR="00585750">
        <w:rPr>
          <w:i/>
          <w:iCs/>
        </w:rPr>
        <w:t>покажчиків</w:t>
      </w:r>
      <w:r>
        <w:rPr>
          <w:i/>
          <w:iCs/>
        </w:rPr>
        <w:t xml:space="preserve"> </w:t>
      </w:r>
      <w:r w:rsidR="00585750">
        <w:rPr>
          <w:i/>
          <w:iCs/>
        </w:rPr>
        <w:t>місця</w:t>
      </w:r>
      <w:r>
        <w:rPr>
          <w:i/>
          <w:iCs/>
        </w:rPr>
        <w:t xml:space="preserve"> </w:t>
      </w:r>
      <w:r w:rsidR="00585750">
        <w:rPr>
          <w:i/>
          <w:iCs/>
        </w:rPr>
        <w:t>розташування,</w:t>
      </w:r>
      <w:r>
        <w:rPr>
          <w:i/>
          <w:iCs/>
        </w:rPr>
        <w:t xml:space="preserve"> </w:t>
      </w:r>
      <w:r w:rsidR="00585750">
        <w:rPr>
          <w:i/>
          <w:iCs/>
        </w:rPr>
        <w:t>організація</w:t>
      </w:r>
      <w:r>
        <w:rPr>
          <w:i/>
          <w:iCs/>
        </w:rPr>
        <w:t xml:space="preserve"> </w:t>
      </w:r>
      <w:r w:rsidR="00585750">
        <w:rPr>
          <w:i/>
          <w:iCs/>
        </w:rPr>
        <w:t>життєзабезпеч</w:t>
      </w:r>
      <w:r>
        <w:rPr>
          <w:i/>
          <w:iCs/>
        </w:rPr>
        <w:t>ення осіб, які укриваються тощо;</w:t>
      </w:r>
    </w:p>
    <w:p w14:paraId="02456CB5" w14:textId="77777777" w:rsidR="00574720" w:rsidRDefault="00705E33" w:rsidP="008A2CB8">
      <w:pPr>
        <w:pStyle w:val="1"/>
        <w:tabs>
          <w:tab w:val="left" w:pos="962"/>
        </w:tabs>
        <w:ind w:firstLine="567"/>
        <w:jc w:val="both"/>
      </w:pPr>
      <w:r>
        <w:t>5) </w:t>
      </w:r>
      <w:hyperlink r:id="rId12" w:history="1">
        <w:bookmarkStart w:id="20" w:name="bookmark20"/>
        <w:bookmarkEnd w:id="20"/>
        <w:r>
          <w:t>п</w:t>
        </w:r>
        <w:r w:rsidR="00585750">
          <w:t>остановка на облік я</w:t>
        </w:r>
      </w:hyperlink>
      <w:r w:rsidR="00585750">
        <w:t>к споруд подвійного призначення або найпростіших укриттів</w:t>
      </w:r>
      <w:r>
        <w:t>;</w:t>
      </w:r>
    </w:p>
    <w:p w14:paraId="3C680E68" w14:textId="77777777" w:rsidR="00574720" w:rsidRDefault="00705E33" w:rsidP="008A2CB8">
      <w:pPr>
        <w:pStyle w:val="1"/>
        <w:tabs>
          <w:tab w:val="left" w:pos="989"/>
        </w:tabs>
        <w:ind w:firstLine="567"/>
        <w:jc w:val="both"/>
      </w:pPr>
      <w:r>
        <w:t>6) </w:t>
      </w:r>
      <w:hyperlink r:id="rId13" w:history="1">
        <w:bookmarkStart w:id="21" w:name="bookmark21"/>
        <w:bookmarkEnd w:id="21"/>
        <w:r>
          <w:t>р</w:t>
        </w:r>
        <w:r w:rsidR="00585750">
          <w:t>озподіл учасників освітнього процесу по наявним спорудам фонду</w:t>
        </w:r>
      </w:hyperlink>
      <w:r w:rsidR="00585750">
        <w:t xml:space="preserve"> </w:t>
      </w:r>
      <w:hyperlink r:id="rId14" w:history="1">
        <w:r w:rsidR="00585750">
          <w:t>захисних споруд з урахуванням їх місткості та розташування на місцевості</w:t>
        </w:r>
        <w:r>
          <w:t>;</w:t>
        </w:r>
      </w:hyperlink>
    </w:p>
    <w:p w14:paraId="7EFD7D87" w14:textId="77777777" w:rsidR="00574720" w:rsidRDefault="00705E33" w:rsidP="008A2CB8">
      <w:pPr>
        <w:pStyle w:val="1"/>
        <w:tabs>
          <w:tab w:val="left" w:pos="979"/>
        </w:tabs>
        <w:ind w:firstLine="567"/>
        <w:jc w:val="both"/>
      </w:pPr>
      <w:r>
        <w:t>7) </w:t>
      </w:r>
      <w:hyperlink r:id="rId15" w:history="1">
        <w:bookmarkStart w:id="22" w:name="bookmark22"/>
        <w:bookmarkEnd w:id="22"/>
        <w:r>
          <w:t>і</w:t>
        </w:r>
        <w:r w:rsidR="00585750">
          <w:t>нформування учасників освітнього процесу щодо місць розташування</w:t>
        </w:r>
      </w:hyperlink>
      <w:r w:rsidR="00585750">
        <w:t xml:space="preserve"> </w:t>
      </w:r>
      <w:hyperlink r:id="rId16" w:history="1">
        <w:r w:rsidR="00585750">
          <w:t>споруд фонду з</w:t>
        </w:r>
      </w:hyperlink>
      <w:r w:rsidR="00585750">
        <w:t>ахисних споруд</w:t>
      </w:r>
      <w:r>
        <w:t>;</w:t>
      </w:r>
    </w:p>
    <w:p w14:paraId="5DC59B67" w14:textId="77777777" w:rsidR="00574720" w:rsidRDefault="00705E33" w:rsidP="008A2CB8">
      <w:pPr>
        <w:pStyle w:val="1"/>
        <w:tabs>
          <w:tab w:val="left" w:pos="1046"/>
        </w:tabs>
        <w:ind w:firstLine="567"/>
        <w:jc w:val="both"/>
      </w:pPr>
      <w:bookmarkStart w:id="23" w:name="bookmark23"/>
      <w:bookmarkEnd w:id="23"/>
      <w:r>
        <w:t>8) п</w:t>
      </w:r>
      <w:r w:rsidR="00585750">
        <w:t>роведення практичних занять щодо укриття в спорудах фонду захисних споруд.</w:t>
      </w:r>
    </w:p>
    <w:p w14:paraId="00E7A5E6" w14:textId="77777777" w:rsidR="00705E33" w:rsidRDefault="00705E33" w:rsidP="008A2CB8">
      <w:pPr>
        <w:pStyle w:val="1"/>
        <w:tabs>
          <w:tab w:val="left" w:pos="1046"/>
        </w:tabs>
        <w:ind w:firstLine="567"/>
        <w:jc w:val="center"/>
      </w:pPr>
      <w:r>
        <w:t>_______________</w:t>
      </w:r>
    </w:p>
    <w:sectPr w:rsidR="00705E33" w:rsidSect="00574720">
      <w:headerReference w:type="default" r:id="rId17"/>
      <w:headerReference w:type="first" r:id="rId18"/>
      <w:pgSz w:w="11900" w:h="16840"/>
      <w:pgMar w:top="1129" w:right="537" w:bottom="1191" w:left="1662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89921" w14:textId="77777777" w:rsidR="00817641" w:rsidRDefault="00817641" w:rsidP="00574720">
      <w:r>
        <w:separator/>
      </w:r>
    </w:p>
  </w:endnote>
  <w:endnote w:type="continuationSeparator" w:id="0">
    <w:p w14:paraId="119F8424" w14:textId="77777777" w:rsidR="00817641" w:rsidRDefault="00817641" w:rsidP="0057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21366" w14:textId="77777777" w:rsidR="00817641" w:rsidRDefault="00817641"/>
  </w:footnote>
  <w:footnote w:type="continuationSeparator" w:id="0">
    <w:p w14:paraId="35A4E547" w14:textId="77777777" w:rsidR="00817641" w:rsidRDefault="008176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B1336" w14:textId="77777777" w:rsidR="00574720" w:rsidRDefault="00000000">
    <w:pPr>
      <w:spacing w:line="1" w:lineRule="exact"/>
    </w:pPr>
    <w:r>
      <w:pict w14:anchorId="345624B9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23.35pt;margin-top:31.5pt;width:4.8pt;height:7.9pt;z-index:-25165875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14:paraId="67CB98A8" w14:textId="77777777" w:rsidR="00574720" w:rsidRPr="008A2CB8" w:rsidRDefault="00574720">
                <w:pPr>
                  <w:pStyle w:val="20"/>
                  <w:rPr>
                    <w:sz w:val="28"/>
                    <w:szCs w:val="22"/>
                  </w:rPr>
                </w:pPr>
                <w:r w:rsidRPr="008A2CB8">
                  <w:rPr>
                    <w:sz w:val="28"/>
                  </w:rPr>
                  <w:fldChar w:fldCharType="begin"/>
                </w:r>
                <w:r w:rsidRPr="008A2CB8">
                  <w:rPr>
                    <w:sz w:val="28"/>
                  </w:rPr>
                  <w:instrText xml:space="preserve"> PAGE \* MERGEFORMAT </w:instrText>
                </w:r>
                <w:r w:rsidRPr="008A2CB8">
                  <w:rPr>
                    <w:sz w:val="28"/>
                  </w:rPr>
                  <w:fldChar w:fldCharType="separate"/>
                </w:r>
                <w:r w:rsidR="00585750" w:rsidRPr="00585750">
                  <w:rPr>
                    <w:noProof/>
                    <w:sz w:val="28"/>
                    <w:szCs w:val="22"/>
                  </w:rPr>
                  <w:t>2</w:t>
                </w:r>
                <w:r w:rsidRPr="008A2CB8">
                  <w:rPr>
                    <w:sz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AF559" w14:textId="77777777" w:rsidR="00574720" w:rsidRDefault="00574720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4743F"/>
    <w:multiLevelType w:val="hybridMultilevel"/>
    <w:tmpl w:val="18F6EB9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F4F3D"/>
    <w:multiLevelType w:val="multilevel"/>
    <w:tmpl w:val="18B2EC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38B6690"/>
    <w:multiLevelType w:val="multilevel"/>
    <w:tmpl w:val="F9527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83120639">
    <w:abstractNumId w:val="2"/>
  </w:num>
  <w:num w:numId="2" w16cid:durableId="1428885826">
    <w:abstractNumId w:val="1"/>
  </w:num>
  <w:num w:numId="3" w16cid:durableId="701322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720"/>
    <w:rsid w:val="0013146C"/>
    <w:rsid w:val="00574720"/>
    <w:rsid w:val="00585750"/>
    <w:rsid w:val="00705E33"/>
    <w:rsid w:val="00817641"/>
    <w:rsid w:val="008A2CB8"/>
    <w:rsid w:val="0097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ABFCA5"/>
  <w15:docId w15:val="{B9501CC2-BE98-42B2-87A0-5A4C29C06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57472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747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sid w:val="005747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sid w:val="005747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574720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574720"/>
    <w:pPr>
      <w:spacing w:after="6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sid w:val="00574720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8A2CB8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8A2CB8"/>
    <w:rPr>
      <w:color w:val="000000"/>
    </w:rPr>
  </w:style>
  <w:style w:type="paragraph" w:styleId="a6">
    <w:name w:val="footer"/>
    <w:basedOn w:val="a"/>
    <w:link w:val="a7"/>
    <w:uiPriority w:val="99"/>
    <w:semiHidden/>
    <w:unhideWhenUsed/>
    <w:rsid w:val="008A2CB8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8A2CB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O7kCemELzJgbGPpIJ8b6nZ7IRk9teqVf/edit%23heading=h.wcx5tywtzhtp" TargetMode="External"/><Relationship Id="rId13" Type="http://schemas.openxmlformats.org/officeDocument/2006/relationships/hyperlink" Target="https://docs.google.com/document/d/1O7kCemELzJgbGPpIJ8b6nZ7IRk9teqVf/edit%23heading=h.ky1w92gltcy7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docs.google.com/document/d/1O7kCemELzJgbGPpIJ8b6nZ7IRk9teqVf/edit%23heading=h.wcx5tywtzhtp" TargetMode="External"/><Relationship Id="rId12" Type="http://schemas.openxmlformats.org/officeDocument/2006/relationships/hyperlink" Target="https://docs.google.com/document/d/1O7kCemELzJgbGPpIJ8b6nZ7IRk9teqVf/edit%23heading=h.f2mly6k4eac1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docs.google.com/document/d/1O7kCemELzJgbGPpIJ8b6nZ7IRk9teqVf/edit%23heading=h.10cyju87mb4j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google.com/document/d/1O7kCemELzJgbGPpIJ8b6nZ7IRk9teqVf/edit%23heading=h.c7jwbl12y5m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cs.google.com/document/d/1O7kCemELzJgbGPpIJ8b6nZ7IRk9teqVf/edit%23heading=h.10cyju87mb4j" TargetMode="External"/><Relationship Id="rId10" Type="http://schemas.openxmlformats.org/officeDocument/2006/relationships/hyperlink" Target="https://docs.google.com/document/d/1O7kCemELzJgbGPpIJ8b6nZ7IRk9teqVf/edit%23heading=h.eyzmzpvn138i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document/d/1O7kCemELzJgbGPpIJ8b6nZ7IRk9teqVf/edit%23heading=h.wcx5tywtzhtp" TargetMode="External"/><Relationship Id="rId14" Type="http://schemas.openxmlformats.org/officeDocument/2006/relationships/hyperlink" Target="https://docs.google.com/document/d/1O7kCemELzJgbGPpIJ8b6nZ7IRk9teqVf/edit%23heading=h.ky1w92gltcy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3896</Words>
  <Characters>2222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NataLi</cp:lastModifiedBy>
  <cp:revision>5</cp:revision>
  <dcterms:created xsi:type="dcterms:W3CDTF">2022-07-22T06:00:00Z</dcterms:created>
  <dcterms:modified xsi:type="dcterms:W3CDTF">2022-07-22T07:00:00Z</dcterms:modified>
</cp:coreProperties>
</file>